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shd w:fill="ffffff" w:val="clear"/>
        <w:spacing w:before="280" w:line="360" w:lineRule="auto"/>
        <w:rPr>
          <w:color w:val="2d3b45"/>
          <w:sz w:val="24"/>
          <w:szCs w:val="24"/>
        </w:rPr>
      </w:pPr>
      <w:bookmarkStart w:colFirst="0" w:colLast="0" w:name="_wyl37lecocqc" w:id="0"/>
      <w:bookmarkEnd w:id="0"/>
      <w:r w:rsidDel="00000000" w:rsidR="00000000" w:rsidRPr="00000000">
        <w:rPr>
          <w:color w:val="621b4b"/>
          <w:sz w:val="39"/>
          <w:szCs w:val="39"/>
          <w:rtl w:val="0"/>
        </w:rPr>
        <w:t xml:space="preserve">Week 6</w:t>
      </w:r>
      <w:r w:rsidDel="00000000" w:rsidR="00000000" w:rsidRPr="00000000">
        <w:rPr>
          <w:rtl w:val="0"/>
        </w:rPr>
      </w:r>
    </w:p>
    <w:p w:rsidR="00000000" w:rsidDel="00000000" w:rsidP="00000000" w:rsidRDefault="00000000" w:rsidRPr="00000000" w14:paraId="00000002">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Business Entities and Taxation</w:t>
      </w:r>
    </w:p>
    <w:p w:rsidR="00000000" w:rsidDel="00000000" w:rsidP="00000000" w:rsidRDefault="00000000" w:rsidRPr="00000000" w14:paraId="00000003">
      <w:pPr>
        <w:shd w:fill="ffffff" w:val="clear"/>
        <w:spacing w:after="180" w:before="180" w:lineRule="auto"/>
        <w:rPr>
          <w:color w:val="2d3b45"/>
          <w:sz w:val="24"/>
          <w:szCs w:val="24"/>
        </w:rPr>
      </w:pPr>
      <w:r w:rsidDel="00000000" w:rsidR="00000000" w:rsidRPr="00000000">
        <w:rPr>
          <w:color w:val="2d3b45"/>
          <w:sz w:val="24"/>
          <w:szCs w:val="24"/>
          <w:rtl w:val="0"/>
        </w:rPr>
        <w:t xml:space="preserve">This week we will be studying consumer protection and antitrust laws.  The textbook does a great job covering these topics so be sure to read the assigned chapters.  Also, you should start working on your final project early so you don’t run out of time. </w:t>
      </w:r>
    </w:p>
    <w:p w:rsidR="00000000" w:rsidDel="00000000" w:rsidP="00000000" w:rsidRDefault="00000000" w:rsidRPr="00000000" w14:paraId="00000004">
      <w:pPr>
        <w:shd w:fill="ffffff" w:val="clear"/>
        <w:spacing w:after="180" w:before="180" w:lineRule="auto"/>
        <w:rPr>
          <w:color w:val="2d3b45"/>
          <w:sz w:val="24"/>
          <w:szCs w:val="24"/>
        </w:rPr>
      </w:pPr>
      <w:r w:rsidDel="00000000" w:rsidR="00000000" w:rsidRPr="00000000">
        <w:rPr>
          <w:color w:val="2d3b45"/>
          <w:sz w:val="24"/>
          <w:szCs w:val="24"/>
          <w:rtl w:val="0"/>
        </w:rPr>
        <w:t xml:space="preserve">One of the limitations in any business law course is that we have a limited amount of time to cover a lot of material.  As a result, there are a number of business law topics that are covered only briefly or not addressed at all.  We simply don’t have enough time to cover every business law topic as thoroughly as we would like to.  However, since the course textbook does a nice job of covering consumer protection and antitrust laws, I want to use this opportunity to provide you with an overview of the different types of business entities and how they are treated for tax purposes.  While this information is not necessary for any of your course assignments, you may find it valuable as you progress through your professional business careers.</w:t>
      </w:r>
    </w:p>
    <w:p w:rsidR="00000000" w:rsidDel="00000000" w:rsidP="00000000" w:rsidRDefault="00000000" w:rsidRPr="00000000" w14:paraId="00000005">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Tax Treatment of Business Entities</w:t>
      </w:r>
    </w:p>
    <w:p w:rsidR="00000000" w:rsidDel="00000000" w:rsidP="00000000" w:rsidRDefault="00000000" w:rsidRPr="00000000" w14:paraId="00000006">
      <w:pPr>
        <w:shd w:fill="ffffff" w:val="clear"/>
        <w:spacing w:after="180" w:before="180" w:lineRule="auto"/>
        <w:rPr>
          <w:color w:val="2d3b45"/>
          <w:sz w:val="24"/>
          <w:szCs w:val="24"/>
        </w:rPr>
      </w:pPr>
      <w:r w:rsidDel="00000000" w:rsidR="00000000" w:rsidRPr="00000000">
        <w:rPr>
          <w:color w:val="2d3b45"/>
          <w:sz w:val="24"/>
          <w:szCs w:val="24"/>
          <w:rtl w:val="0"/>
        </w:rPr>
        <w:t xml:space="preserve">The most common types of business entities are sole proprietorships, partnerships, limited liability companies (LLCs), S corporations and C corporations.  The form of the business determines how the income of the business gets taxed.  However, that is only part of the story. All businesses pay taxes of some kind and unfortunately, some businesses get into serious trouble with their tax obligations.  In addition to tax treatment, there are advantages and disadvantages for each type of business entity.</w:t>
      </w:r>
    </w:p>
    <w:p w:rsidR="00000000" w:rsidDel="00000000" w:rsidP="00000000" w:rsidRDefault="00000000" w:rsidRPr="00000000" w14:paraId="00000007">
      <w:pPr>
        <w:shd w:fill="ffffff" w:val="clear"/>
        <w:spacing w:after="180" w:before="180" w:lineRule="auto"/>
        <w:rPr>
          <w:color w:val="2d3b45"/>
          <w:sz w:val="24"/>
          <w:szCs w:val="24"/>
        </w:rPr>
      </w:pPr>
      <w:r w:rsidDel="00000000" w:rsidR="00000000" w:rsidRPr="00000000">
        <w:rPr>
          <w:color w:val="2d3b45"/>
          <w:sz w:val="24"/>
          <w:szCs w:val="24"/>
          <w:rtl w:val="0"/>
        </w:rPr>
        <w:t xml:space="preserve">For income tax purposes, there are three basic types of business entities:  sole proprietorships, pass-through entities, and corporations.  A sole proprietorship pays its income taxes on the tax return of its owner.  When the owner fills out their tax return, they complete a Schedule C on which they report the taxable income of business calculated by subtracting allowable business expenses from the gross income of the business.  The income from a sole proprietorship is only taxed once and is taxed at the owner’s tax rate (Luizzo, 2013).</w:t>
      </w:r>
    </w:p>
    <w:p w:rsidR="00000000" w:rsidDel="00000000" w:rsidP="00000000" w:rsidRDefault="00000000" w:rsidRPr="00000000" w14:paraId="00000008">
      <w:pPr>
        <w:shd w:fill="ffffff" w:val="clear"/>
        <w:spacing w:after="180" w:before="180" w:lineRule="auto"/>
        <w:rPr>
          <w:color w:val="2d3b45"/>
          <w:sz w:val="24"/>
          <w:szCs w:val="24"/>
        </w:rPr>
      </w:pPr>
      <w:r w:rsidDel="00000000" w:rsidR="00000000" w:rsidRPr="00000000">
        <w:rPr>
          <w:color w:val="2d3b45"/>
          <w:sz w:val="24"/>
          <w:szCs w:val="24"/>
          <w:rtl w:val="0"/>
        </w:rPr>
        <w:t xml:space="preserve">Partnerships, S-Corporations, and Limited Liability Companies (LLCs) are generally taxed as pass-through entities except for single member LLCs which are taxed as a sole proprietorship.  A separate tax return is prepared for each of these types of business entities, but the net profit or loss is not taxed at the entity level.  Instead, the profit or loss “flows through” to the owners of the business who report and pay taxes on the business profits on their individual returns. Like a sole proprietorship, the income from these types of entities is only taxed once and is taxed at the owner’s tax rate (Mallor, Barnes, Bowers, &amp; Langvardt, 2010). </w:t>
      </w:r>
    </w:p>
    <w:p w:rsidR="00000000" w:rsidDel="00000000" w:rsidP="00000000" w:rsidRDefault="00000000" w:rsidRPr="00000000" w14:paraId="00000009">
      <w:pPr>
        <w:shd w:fill="ffffff" w:val="clear"/>
        <w:spacing w:after="180" w:before="180" w:lineRule="auto"/>
        <w:rPr>
          <w:color w:val="2d3b45"/>
          <w:sz w:val="24"/>
          <w:szCs w:val="24"/>
        </w:rPr>
      </w:pPr>
      <w:r w:rsidDel="00000000" w:rsidR="00000000" w:rsidRPr="00000000">
        <w:rPr>
          <w:color w:val="2d3b45"/>
          <w:sz w:val="24"/>
          <w:szCs w:val="24"/>
          <w:rtl w:val="0"/>
        </w:rPr>
        <w:t xml:space="preserve">A C corporation is treated somewhat like an individual person.   A C corporation completes its own tax return and pays tax on its earnings at the corporate tax rate.  If it has profits that it distributes to its shareholders, the shareholders report the distributions as income and pay income tax on those distributions.  As a result, profits of a C corporation that are distributed to shareholders as dividends are taxed twice – once at the corporate level and again at the shareholder level (Luizzo, 2013).</w:t>
      </w:r>
    </w:p>
    <w:p w:rsidR="00000000" w:rsidDel="00000000" w:rsidP="00000000" w:rsidRDefault="00000000" w:rsidRPr="00000000" w14:paraId="0000000A">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Advantages and Disadvantages of Different Types of Business Entities</w:t>
      </w:r>
    </w:p>
    <w:p w:rsidR="00000000" w:rsidDel="00000000" w:rsidP="00000000" w:rsidRDefault="00000000" w:rsidRPr="00000000" w14:paraId="0000000B">
      <w:pPr>
        <w:shd w:fill="ffffff" w:val="clear"/>
        <w:spacing w:after="180" w:before="180" w:lineRule="auto"/>
        <w:rPr>
          <w:color w:val="2d3b45"/>
          <w:sz w:val="24"/>
          <w:szCs w:val="24"/>
        </w:rPr>
      </w:pPr>
      <w:r w:rsidDel="00000000" w:rsidR="00000000" w:rsidRPr="00000000">
        <w:rPr>
          <w:color w:val="2d3b45"/>
          <w:sz w:val="24"/>
          <w:szCs w:val="24"/>
          <w:rtl w:val="0"/>
        </w:rPr>
        <w:t xml:space="preserve">Each type of business entity has advantages and disadvantages.  For example, a sole proprietorship is easy to form, the owner has complete control over the company and the recordkeeping and administrative requirements are minimal.  However, a sole proprietorship can only have one owner and the owner has unlimited personal liability for the debts and liabilities of the business.  This means that the owner is personally liable for the debts of the business and his or her assets such as the owner’s personal bank accounts, home, and other assets are subject to claims from the creditors of the business (Luizzo, 2013).</w:t>
      </w:r>
    </w:p>
    <w:p w:rsidR="00000000" w:rsidDel="00000000" w:rsidP="00000000" w:rsidRDefault="00000000" w:rsidRPr="00000000" w14:paraId="0000000C">
      <w:pPr>
        <w:shd w:fill="ffffff" w:val="clear"/>
        <w:spacing w:after="180" w:before="180" w:lineRule="auto"/>
        <w:rPr>
          <w:color w:val="2d3b45"/>
          <w:sz w:val="24"/>
          <w:szCs w:val="24"/>
        </w:rPr>
      </w:pPr>
      <w:r w:rsidDel="00000000" w:rsidR="00000000" w:rsidRPr="00000000">
        <w:rPr>
          <w:color w:val="2d3b45"/>
          <w:sz w:val="24"/>
          <w:szCs w:val="24"/>
          <w:rtl w:val="0"/>
        </w:rPr>
        <w:t xml:space="preserve">Partnerships can have multiple owners and are relatively easy to form.  Partnerships allow several people to pool their resources and skills to operate the business and the partnership agreement can be very flexible.  The downside to a partnership is that just like a sole proprietorship, the partners each have unlimited liability for the debts of the partnership and also generally have unlimited liability for the actions of the other partners (Mallor, Barnes, Bowers, &amp; Langvardt, 2010). </w:t>
      </w:r>
    </w:p>
    <w:p w:rsidR="00000000" w:rsidDel="00000000" w:rsidP="00000000" w:rsidRDefault="00000000" w:rsidRPr="00000000" w14:paraId="0000000D">
      <w:pPr>
        <w:shd w:fill="ffffff" w:val="clear"/>
        <w:spacing w:after="180" w:before="180" w:lineRule="auto"/>
        <w:rPr>
          <w:color w:val="2d3b45"/>
          <w:sz w:val="24"/>
          <w:szCs w:val="24"/>
        </w:rPr>
      </w:pPr>
      <w:r w:rsidDel="00000000" w:rsidR="00000000" w:rsidRPr="00000000">
        <w:rPr>
          <w:color w:val="2d3b45"/>
          <w:sz w:val="24"/>
          <w:szCs w:val="24"/>
          <w:rtl w:val="0"/>
        </w:rPr>
        <w:t xml:space="preserve">A limited partnership has limited partners and at least one general partner. The general partner (or general partners) have unlimited personal liability for the debts of the business just like a partnership, but the limited partners are only liable for the debts of the business to the extent of their investment.  In other words, the most the limited partners can lose is their investment in the business.  This called “limited liability”.  Their personal assets (personal bank accounts, homes, etc.) are not subject to claims from creditors of the business.  The disadvantage of a limited liability partnership is that the limited partners are prohibited from being involved in the operation of the business (Mallor, Barnes, Bowers, &amp; Langvardt, 2010).     </w:t>
      </w:r>
    </w:p>
    <w:p w:rsidR="00000000" w:rsidDel="00000000" w:rsidP="00000000" w:rsidRDefault="00000000" w:rsidRPr="00000000" w14:paraId="0000000E">
      <w:pPr>
        <w:shd w:fill="ffffff" w:val="clear"/>
        <w:spacing w:after="180" w:before="180" w:lineRule="auto"/>
        <w:rPr>
          <w:color w:val="2d3b45"/>
          <w:sz w:val="24"/>
          <w:szCs w:val="24"/>
        </w:rPr>
      </w:pPr>
      <w:r w:rsidDel="00000000" w:rsidR="00000000" w:rsidRPr="00000000">
        <w:rPr>
          <w:color w:val="2d3b45"/>
          <w:sz w:val="24"/>
          <w:szCs w:val="24"/>
          <w:rtl w:val="0"/>
        </w:rPr>
        <w:t xml:space="preserve">Limited liability companies (LLCs) are easy to form and the owners (called “members”) have the limited liability protection of a corporation. In addition, the profits of an LLC are only taxed once just like a sole proprietorship or partnership.  LLCs are creatures of state law and generally treated as partnerships for federal tax purposes unless there is only one member (called a single member LLC) in which case the LLC is treated as a sole proprietorship for tax purposes (Mann &amp; Roberts, 2007).    </w:t>
      </w:r>
    </w:p>
    <w:p w:rsidR="00000000" w:rsidDel="00000000" w:rsidP="00000000" w:rsidRDefault="00000000" w:rsidRPr="00000000" w14:paraId="0000000F">
      <w:pPr>
        <w:shd w:fill="ffffff" w:val="clear"/>
        <w:spacing w:after="180" w:before="180" w:lineRule="auto"/>
        <w:rPr>
          <w:color w:val="2d3b45"/>
          <w:sz w:val="24"/>
          <w:szCs w:val="24"/>
        </w:rPr>
      </w:pPr>
      <w:r w:rsidDel="00000000" w:rsidR="00000000" w:rsidRPr="00000000">
        <w:rPr>
          <w:color w:val="2d3b45"/>
          <w:sz w:val="24"/>
          <w:szCs w:val="24"/>
          <w:rtl w:val="0"/>
        </w:rPr>
        <w:t xml:space="preserve">Like an LLC, an S corporation also provides limited liability for the owners and an S corporation is taxed in a manner similar to a partnership with a couple important distinctions. Unlike a partnership, an S corporation can pay wages to its owners.  In addition, unlike ordinary income from a partnership, the flow through income from an S corporation is not subject to self employment tax.  As a result, S corporation owners who perform services for the corporation tend to pay themselves very low wages or no wages at all in order to avoid payment of employment taxes (Seaquist, 2012). </w:t>
      </w:r>
    </w:p>
    <w:p w:rsidR="00000000" w:rsidDel="00000000" w:rsidP="00000000" w:rsidRDefault="00000000" w:rsidRPr="00000000" w14:paraId="00000010">
      <w:pPr>
        <w:shd w:fill="ffffff" w:val="clear"/>
        <w:spacing w:after="180" w:before="180" w:lineRule="auto"/>
        <w:rPr>
          <w:color w:val="1155cc"/>
          <w:sz w:val="24"/>
          <w:szCs w:val="24"/>
        </w:rPr>
      </w:pPr>
      <w:r w:rsidDel="00000000" w:rsidR="00000000" w:rsidRPr="00000000">
        <w:rPr>
          <w:color w:val="2d3b45"/>
          <w:sz w:val="24"/>
          <w:szCs w:val="24"/>
          <w:rtl w:val="0"/>
        </w:rPr>
        <w:t xml:space="preserve">The IRS sometimes steps in and re-characterizes distributions from S corporations as salary when the S corporation does not pay its owners a salary or when the salary is unreasonably low.  For example, in </w:t>
      </w:r>
      <w:r w:rsidDel="00000000" w:rsidR="00000000" w:rsidRPr="00000000">
        <w:fldChar w:fldCharType="begin"/>
        <w:instrText xml:space="preserve"> HYPERLINK "https://ecf.ca8.uscourts.gov/opndir/12/02/111589P.pdf" </w:instrText>
        <w:fldChar w:fldCharType="separate"/>
      </w:r>
      <w:r w:rsidDel="00000000" w:rsidR="00000000" w:rsidRPr="00000000">
        <w:rPr>
          <w:color w:val="1155cc"/>
          <w:sz w:val="24"/>
          <w:szCs w:val="24"/>
          <w:rtl w:val="0"/>
        </w:rPr>
        <w:t xml:space="preserve">Watson v. United States</w:t>
      </w:r>
    </w:p>
    <w:p w:rsidR="00000000" w:rsidDel="00000000" w:rsidP="00000000" w:rsidRDefault="00000000" w:rsidRPr="00000000" w14:paraId="00000011">
      <w:pPr>
        <w:shd w:fill="ffffff" w:val="clear"/>
        <w:spacing w:after="160" w:before="160" w:lineRule="auto"/>
        <w:ind w:left="-20" w:right="-20" w:firstLine="0"/>
        <w:rPr>
          <w:color w:val="1155cc"/>
          <w:sz w:val="24"/>
          <w:szCs w:val="24"/>
        </w:rPr>
      </w:pPr>
      <w:r w:rsidDel="00000000" w:rsidR="00000000" w:rsidRPr="00000000">
        <w:rPr>
          <w:color w:val="1155cc"/>
          <w:sz w:val="24"/>
          <w:szCs w:val="24"/>
          <w:rtl w:val="0"/>
        </w:rPr>
        <w:t xml:space="preserve"> (Links to an external site.)</w:t>
      </w:r>
    </w:p>
    <w:p w:rsidR="00000000" w:rsidDel="00000000" w:rsidP="00000000" w:rsidRDefault="00000000" w:rsidRPr="00000000" w14:paraId="00000012">
      <w:pPr>
        <w:shd w:fill="ffffff" w:val="clear"/>
        <w:spacing w:after="180" w:before="180" w:lineRule="auto"/>
        <w:rPr>
          <w:color w:val="2d3b45"/>
          <w:sz w:val="24"/>
          <w:szCs w:val="24"/>
        </w:rPr>
      </w:pPr>
      <w:r w:rsidDel="00000000" w:rsidR="00000000" w:rsidRPr="00000000">
        <w:fldChar w:fldCharType="end"/>
      </w:r>
      <w:r w:rsidDel="00000000" w:rsidR="00000000" w:rsidRPr="00000000">
        <w:rPr>
          <w:color w:val="2d3b45"/>
          <w:sz w:val="24"/>
          <w:szCs w:val="24"/>
          <w:rtl w:val="0"/>
        </w:rPr>
        <w:t xml:space="preserve">, the taxpayer was an accountant who owned his own accounting firm.  The accounting firm elected to be taxed as an S corporation and Watson was the sole employee, owner, and director of the firm.  During the years at issue, the S corporation paid Watson a salary of $24,000 while paying him distributions of over $175,000.  The court agreed with the IRS that $24,000 was an unreasonably low salary for a person of Watson’s education and skill and assessed over $48,000 in employment taxes, penalties and interest.</w:t>
      </w:r>
    </w:p>
    <w:p w:rsidR="00000000" w:rsidDel="00000000" w:rsidP="00000000" w:rsidRDefault="00000000" w:rsidRPr="00000000" w14:paraId="00000013">
      <w:pPr>
        <w:shd w:fill="ffffff" w:val="clear"/>
        <w:spacing w:after="180" w:before="180" w:lineRule="auto"/>
        <w:rPr>
          <w:color w:val="2d3b45"/>
          <w:sz w:val="24"/>
          <w:szCs w:val="24"/>
        </w:rPr>
      </w:pPr>
      <w:r w:rsidDel="00000000" w:rsidR="00000000" w:rsidRPr="00000000">
        <w:rPr>
          <w:color w:val="2d3b45"/>
          <w:sz w:val="24"/>
          <w:szCs w:val="24"/>
          <w:rtl w:val="0"/>
        </w:rPr>
        <w:t xml:space="preserve">C corporations have the advantage of limited liability for the owners (the shareholders) and the ability to raise large amounts of capital by selling shares (Mann &amp; Roberts, 2007).  C corporations often run into the opposite problem from that encountered by S corporations  – the IRS often comes after C corporations for paying the officers and directors salaries that are too high rather than too low.  As discussed above, a C corporation files its own tax return and pays tax on its income.  Distributions to shareholders in the form of dividends are taxed a second time on the shareholders individual income tax return.  Some closely held corporations (a corporation with only a single or a few shareholders) attempt to avoid this double taxation by paying salaries and wages to their officers (who are also the shareholders) in an amount equal to the corporate profits.  Since wages are deductible to the corporation, the wages reduce the corporate profits to zero and eliminate the double taxation.  Since the corporation has no profits, it pays no corporate tax and income is taxed as wages when they are reported on the shareholder/officer’s individual tax return.  In these cases, the IRS often takes the position that the wages to officers is unreasonably high – the opposite of the position taken with S corporations. </w:t>
      </w:r>
    </w:p>
    <w:p w:rsidR="00000000" w:rsidDel="00000000" w:rsidP="00000000" w:rsidRDefault="00000000" w:rsidRPr="00000000" w14:paraId="00000014">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References</w:t>
      </w:r>
    </w:p>
    <w:p w:rsidR="00000000" w:rsidDel="00000000" w:rsidP="00000000" w:rsidRDefault="00000000" w:rsidRPr="00000000" w14:paraId="00000015">
      <w:pPr>
        <w:shd w:fill="ffffff" w:val="clear"/>
        <w:spacing w:after="180" w:before="180" w:lineRule="auto"/>
        <w:rPr>
          <w:color w:val="2d3b45"/>
          <w:sz w:val="24"/>
          <w:szCs w:val="24"/>
        </w:rPr>
      </w:pPr>
      <w:r w:rsidDel="00000000" w:rsidR="00000000" w:rsidRPr="00000000">
        <w:rPr>
          <w:color w:val="2d3b45"/>
          <w:sz w:val="24"/>
          <w:szCs w:val="24"/>
          <w:rtl w:val="0"/>
        </w:rPr>
        <w:t xml:space="preserve">Luizzo, A.L. (2013). </w:t>
      </w:r>
      <w:r w:rsidDel="00000000" w:rsidR="00000000" w:rsidRPr="00000000">
        <w:rPr>
          <w:i w:val="1"/>
          <w:color w:val="2d3b45"/>
          <w:sz w:val="24"/>
          <w:szCs w:val="24"/>
          <w:rtl w:val="0"/>
        </w:rPr>
        <w:t xml:space="preserve">Essentials of business law</w:t>
      </w:r>
      <w:r w:rsidDel="00000000" w:rsidR="00000000" w:rsidRPr="00000000">
        <w:rPr>
          <w:color w:val="2d3b45"/>
          <w:sz w:val="24"/>
          <w:szCs w:val="24"/>
          <w:rtl w:val="0"/>
        </w:rPr>
        <w:t xml:space="preserve"> (8</w:t>
      </w:r>
      <w:r w:rsidDel="00000000" w:rsidR="00000000" w:rsidRPr="00000000">
        <w:rPr>
          <w:color w:val="2d3b45"/>
          <w:sz w:val="18"/>
          <w:szCs w:val="18"/>
          <w:rtl w:val="0"/>
        </w:rPr>
        <w:t xml:space="preserve">th</w:t>
      </w:r>
      <w:r w:rsidDel="00000000" w:rsidR="00000000" w:rsidRPr="00000000">
        <w:rPr>
          <w:color w:val="2d3b45"/>
          <w:sz w:val="24"/>
          <w:szCs w:val="24"/>
          <w:rtl w:val="0"/>
        </w:rPr>
        <w:t xml:space="preserve"> ed.). New York, NY: McGraw-Hill.</w:t>
      </w:r>
    </w:p>
    <w:p w:rsidR="00000000" w:rsidDel="00000000" w:rsidP="00000000" w:rsidRDefault="00000000" w:rsidRPr="00000000" w14:paraId="00000016">
      <w:pPr>
        <w:shd w:fill="ffffff" w:val="clear"/>
        <w:spacing w:after="180" w:before="180" w:lineRule="auto"/>
        <w:rPr>
          <w:color w:val="2d3b45"/>
          <w:sz w:val="24"/>
          <w:szCs w:val="24"/>
        </w:rPr>
      </w:pPr>
      <w:r w:rsidDel="00000000" w:rsidR="00000000" w:rsidRPr="00000000">
        <w:rPr>
          <w:color w:val="2d3b45"/>
          <w:sz w:val="24"/>
          <w:szCs w:val="24"/>
          <w:rtl w:val="0"/>
        </w:rPr>
        <w:t xml:space="preserve">Mallor, J.P., Barnes, A.J., Bowers, T., &amp; Langvart, A.W. (2010). </w:t>
      </w:r>
      <w:r w:rsidDel="00000000" w:rsidR="00000000" w:rsidRPr="00000000">
        <w:rPr>
          <w:i w:val="1"/>
          <w:color w:val="2d3b45"/>
          <w:sz w:val="24"/>
          <w:szCs w:val="24"/>
          <w:rtl w:val="0"/>
        </w:rPr>
        <w:t xml:space="preserve">Business law:  The ethical, global, and e-commerce environment</w:t>
      </w:r>
      <w:r w:rsidDel="00000000" w:rsidR="00000000" w:rsidRPr="00000000">
        <w:rPr>
          <w:color w:val="2d3b45"/>
          <w:sz w:val="24"/>
          <w:szCs w:val="24"/>
          <w:rtl w:val="0"/>
        </w:rPr>
        <w:t xml:space="preserve"> (14</w:t>
      </w:r>
      <w:r w:rsidDel="00000000" w:rsidR="00000000" w:rsidRPr="00000000">
        <w:rPr>
          <w:color w:val="2d3b45"/>
          <w:sz w:val="18"/>
          <w:szCs w:val="18"/>
          <w:rtl w:val="0"/>
        </w:rPr>
        <w:t xml:space="preserve">th</w:t>
      </w:r>
      <w:r w:rsidDel="00000000" w:rsidR="00000000" w:rsidRPr="00000000">
        <w:rPr>
          <w:color w:val="2d3b45"/>
          <w:sz w:val="24"/>
          <w:szCs w:val="24"/>
          <w:rtl w:val="0"/>
        </w:rPr>
        <w:t xml:space="preserve"> ed.). New York, NY:  McGraw-Hill.</w:t>
      </w:r>
    </w:p>
    <w:p w:rsidR="00000000" w:rsidDel="00000000" w:rsidP="00000000" w:rsidRDefault="00000000" w:rsidRPr="00000000" w14:paraId="00000017">
      <w:pPr>
        <w:shd w:fill="ffffff" w:val="clear"/>
        <w:spacing w:after="180" w:before="180" w:lineRule="auto"/>
        <w:rPr>
          <w:color w:val="2d3b45"/>
          <w:sz w:val="24"/>
          <w:szCs w:val="24"/>
        </w:rPr>
      </w:pPr>
      <w:r w:rsidDel="00000000" w:rsidR="00000000" w:rsidRPr="00000000">
        <w:rPr>
          <w:color w:val="2d3b45"/>
          <w:sz w:val="24"/>
          <w:szCs w:val="24"/>
          <w:rtl w:val="0"/>
        </w:rPr>
        <w:t xml:space="preserve">Mann, R.A. &amp; Roberts, B.S. (2007).  </w:t>
      </w:r>
      <w:r w:rsidDel="00000000" w:rsidR="00000000" w:rsidRPr="00000000">
        <w:rPr>
          <w:i w:val="1"/>
          <w:color w:val="2d3b45"/>
          <w:sz w:val="24"/>
          <w:szCs w:val="24"/>
          <w:rtl w:val="0"/>
        </w:rPr>
        <w:t xml:space="preserve">Essentials of business law and the legal environment</w:t>
      </w:r>
      <w:r w:rsidDel="00000000" w:rsidR="00000000" w:rsidRPr="00000000">
        <w:rPr>
          <w:color w:val="2d3b45"/>
          <w:sz w:val="24"/>
          <w:szCs w:val="24"/>
          <w:rtl w:val="0"/>
        </w:rPr>
        <w:t xml:space="preserve"> (8</w:t>
      </w:r>
      <w:r w:rsidDel="00000000" w:rsidR="00000000" w:rsidRPr="00000000">
        <w:rPr>
          <w:color w:val="2d3b45"/>
          <w:sz w:val="18"/>
          <w:szCs w:val="18"/>
          <w:rtl w:val="0"/>
        </w:rPr>
        <w:t xml:space="preserve">th</w:t>
      </w:r>
      <w:r w:rsidDel="00000000" w:rsidR="00000000" w:rsidRPr="00000000">
        <w:rPr>
          <w:color w:val="2d3b45"/>
          <w:sz w:val="24"/>
          <w:szCs w:val="24"/>
          <w:rtl w:val="0"/>
        </w:rPr>
        <w:t xml:space="preserve"> ed.).  Mason, OH:  Thomson Higher Education.</w:t>
      </w:r>
    </w:p>
    <w:p w:rsidR="00000000" w:rsidDel="00000000" w:rsidP="00000000" w:rsidRDefault="00000000" w:rsidRPr="00000000" w14:paraId="00000018">
      <w:pPr>
        <w:shd w:fill="ffffff" w:val="clear"/>
        <w:spacing w:after="180" w:before="180" w:lineRule="auto"/>
        <w:rPr>
          <w:color w:val="2d3b45"/>
          <w:sz w:val="24"/>
          <w:szCs w:val="24"/>
        </w:rPr>
      </w:pPr>
      <w:r w:rsidDel="00000000" w:rsidR="00000000" w:rsidRPr="00000000">
        <w:rPr>
          <w:color w:val="2d3b45"/>
          <w:sz w:val="24"/>
          <w:szCs w:val="24"/>
          <w:rtl w:val="0"/>
        </w:rPr>
        <w:t xml:space="preserve">Seaquist, G. (2012). </w:t>
      </w:r>
      <w:r w:rsidDel="00000000" w:rsidR="00000000" w:rsidRPr="00000000">
        <w:rPr>
          <w:i w:val="1"/>
          <w:color w:val="2d3b45"/>
          <w:sz w:val="24"/>
          <w:szCs w:val="24"/>
          <w:rtl w:val="0"/>
        </w:rPr>
        <w:t xml:space="preserve">Business law for managers</w:t>
      </w:r>
      <w:r w:rsidDel="00000000" w:rsidR="00000000" w:rsidRPr="00000000">
        <w:rPr>
          <w:color w:val="2d3b45"/>
          <w:sz w:val="24"/>
          <w:szCs w:val="24"/>
          <w:rtl w:val="0"/>
        </w:rPr>
        <w:t xml:space="preserve">.  San Diego, CA:  Bridgepoint Education.</w:t>
      </w:r>
    </w:p>
    <w:p w:rsidR="00000000" w:rsidDel="00000000" w:rsidP="00000000" w:rsidRDefault="00000000" w:rsidRPr="00000000" w14:paraId="00000019">
      <w:pPr>
        <w:shd w:fill="ffffff" w:val="clear"/>
        <w:spacing w:after="180" w:before="180" w:lineRule="auto"/>
        <w:rPr>
          <w:color w:val="1155cc"/>
          <w:sz w:val="24"/>
          <w:szCs w:val="24"/>
        </w:rPr>
      </w:pPr>
      <w:r w:rsidDel="00000000" w:rsidR="00000000" w:rsidRPr="00000000">
        <w:rPr>
          <w:color w:val="2d3b45"/>
          <w:sz w:val="24"/>
          <w:szCs w:val="24"/>
          <w:rtl w:val="0"/>
        </w:rPr>
        <w:t xml:space="preserve">Watson v. United States, 668 F.3d 1008 (8</w:t>
      </w:r>
      <w:r w:rsidDel="00000000" w:rsidR="00000000" w:rsidRPr="00000000">
        <w:rPr>
          <w:color w:val="2d3b45"/>
          <w:sz w:val="18"/>
          <w:szCs w:val="18"/>
          <w:rtl w:val="0"/>
        </w:rPr>
        <w:t xml:space="preserve">th</w:t>
      </w:r>
      <w:r w:rsidDel="00000000" w:rsidR="00000000" w:rsidRPr="00000000">
        <w:rPr>
          <w:color w:val="2d3b45"/>
          <w:sz w:val="24"/>
          <w:szCs w:val="24"/>
          <w:rtl w:val="0"/>
        </w:rPr>
        <w:t xml:space="preserve"> Cir. 2012).  Downloaded from </w:t>
      </w:r>
      <w:hyperlink r:id="rId6">
        <w:r w:rsidDel="00000000" w:rsidR="00000000" w:rsidRPr="00000000">
          <w:rPr>
            <w:color w:val="1155cc"/>
            <w:sz w:val="24"/>
            <w:szCs w:val="24"/>
            <w:rtl w:val="0"/>
          </w:rPr>
          <w:t xml:space="preserve">https://ecf.ca8.uscourts.gov/opndir/12/02/111589P.pdf</w:t>
        </w:r>
      </w:hyperlink>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ecf.ca8.uscourts.gov/opndir/12/02/111589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